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240" w:after="283"/>
        <w:rPr/>
      </w:pPr>
      <w:r>
        <w:rPr/>
        <w:t>Приказ Минтруда России / Минздрава России № 988н/1420н от 31 декабря 2020 г.</w:t>
      </w:r>
    </w:p>
    <w:p>
      <w:pPr>
        <w:pStyle w:val="Heading2"/>
        <w:rPr/>
      </w:pPr>
      <w:r>
        <w:rPr/>
        <w:t>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</w:t>
      </w:r>
    </w:p>
    <w:p>
      <w:pPr>
        <w:pStyle w:val="TextBody"/>
        <w:rPr/>
      </w:pPr>
      <w:r>
        <w:rPr/>
        <w:t>В соответствии со статьей 213 Трудового кодекса Российской Федерации (Собрание законодательства Российской Федерации, 2002, № 1, ст. 3; 2015, № 29, ст. 4356), подпунктом 5.2.101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№ 610 (Собрание законодательства Российской Федерации, 2012, № 26, ст. 3528), подпунктом 5.2.56 Положения о Министерстве здравоохранения Российской Федерации, утвержденного постановлением Правительства Российской Федерации от 19 июня 2012 г. № 608 (Собрание законодательства Российской Федерации, 2012, № 26, ст. 3526), п р и к а з ы в а е м: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/>
      </w:pPr>
      <w:r>
        <w:rPr/>
        <w:t xml:space="preserve">Утвердить перечень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 согласно приложению. 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/>
      </w:pPr>
      <w:r>
        <w:rPr/>
        <w:t xml:space="preserve">Признать утратившими силу: </w:t>
      </w:r>
    </w:p>
    <w:p>
      <w:pPr>
        <w:pStyle w:val="TextBody"/>
        <w:rPr/>
      </w:pPr>
      <w:r>
        <w:rPr/>
        <w:t>приказ Министерства здравоохранения и социального развития Российской Федерации от 12 апреля 2011 г.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(зарегистрирован Министерством юстиции Российской Федерации 21 октября 2011 г., регистрационный № 22111);</w:t>
      </w:r>
    </w:p>
    <w:p>
      <w:pPr>
        <w:pStyle w:val="TextBody"/>
        <w:rPr/>
      </w:pPr>
      <w:r>
        <w:rPr/>
        <w:t>приказ Министерства здравоохранения Российской Федерации от 15 мая 2013 г. № 296н «О внесении изменения в приложение № 2 к приказу Министерства здравоохранения и социального развития Российской Федерации от 12 апреля 2011 г.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(зарегистрирован Министерством юстиции Российской Федерации 3 июля 2013 г., регистрационный № 28970);</w:t>
      </w:r>
    </w:p>
    <w:p>
      <w:pPr>
        <w:pStyle w:val="TextBody"/>
        <w:rPr/>
      </w:pPr>
      <w:r>
        <w:rPr/>
        <w:t>приказ Министерства здравоохранения Российской Федерации от 5 декабря 2014 г. № 801н «О внесении изменений в приложения № 1 и № 2 к приказу Министерства здравоохранения и социального развития Российской Федерации от 12 апреля 2011 г.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(зарегистрирован Министерством юстиции Российской Федерации 3 февраля 2015 г., регистрационный № 35848);</w:t>
      </w:r>
    </w:p>
    <w:p>
      <w:pPr>
        <w:pStyle w:val="TextBody"/>
        <w:rPr/>
      </w:pPr>
      <w:r>
        <w:rPr/>
        <w:t xml:space="preserve">приказ Министерства труда и социальной защиты Российской Федерации </w:t>
        <w:br/>
        <w:t>№ 62н, Министерства здравоохранения Российской Федерации № 49н от 6 февраля 2018 г. «О внесении изменения в приложение № 2 к приказу Министерства здравоохранения и социального развития Российской Федерации от 12 апреля 2011 г.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(зарегистрирован Министерством юстиции Российской Федерации 2 марта 2018 г., регистрационный № 50237);</w:t>
      </w:r>
    </w:p>
    <w:p>
      <w:pPr>
        <w:pStyle w:val="TextBody"/>
        <w:rPr/>
      </w:pPr>
      <w:r>
        <w:rPr/>
        <w:t>приказ Министерства здравоохранения Российской Федерации от 13 декабря 2019 г. № 1032н «О внесении изменений в приложения № 1, 2 и 3 к приказу Министерства здравоохранения и социального развития Российской Федерации от 12 апреля 2011 г. № 302н «Об утверждении перечней вредных и (или) опасных производственных факторов и работ, при выполнении которых проводятся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(зарегистрирован Министерством юстиции Российской Федерации 24 декабря 2019 г., регистрационный № 56976);</w:t>
      </w:r>
    </w:p>
    <w:p>
      <w:pPr>
        <w:pStyle w:val="TextBody"/>
        <w:rPr/>
      </w:pPr>
      <w:r>
        <w:rPr/>
        <w:t xml:space="preserve">приказ Министерства труда и социальной защиты Российской Федерации </w:t>
        <w:br/>
        <w:t>№ 187н, Министерства здравоохранения Российской Федерации № 268н от 3 апреля 2020 г. «О внесении изменения в приложение № 1 к приказу Министерства здравоохранения и социального развития Российской Федерации от 12 апреля 2011 г.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(зарегистрирован Министерством юстиции Российской Федерации 12 мая 2020 г., регистрационный № 58320);</w:t>
      </w:r>
    </w:p>
    <w:p>
      <w:pPr>
        <w:pStyle w:val="TextBody"/>
        <w:rPr/>
      </w:pPr>
      <w:r>
        <w:rPr/>
        <w:t>приказ Министерства здравоохранения Российской Федерации от 18 мая 2020 г. № 455н «О внесении изменения в Порядок проведения обязательных предварительных (при поступлении на работу)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утвержденный приказом Министерства здравоохранения и социального развития Российской Федерации от 12 апреля 2011 г. № 302н» (зарегистрирован Министерством юстиции Российской Федерации 22 мая 2020 г., регистрационный № 58430).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/>
      </w:pPr>
      <w:r>
        <w:rPr/>
        <w:t xml:space="preserve">Настоящий приказ вступает в силу с 1 апреля 2021 года и действует до 1 апреля 2027 года. </w:t>
      </w:r>
    </w:p>
    <w:p>
      <w:pPr>
        <w:pStyle w:val="TextBody"/>
        <w:rPr/>
      </w:pPr>
      <w:r>
        <w:rPr/>
        <w:t> </w:t>
      </w:r>
    </w:p>
    <w:p>
      <w:pPr>
        <w:pStyle w:val="TextBody"/>
        <w:rPr/>
      </w:pPr>
      <w:r>
        <w:rPr>
          <w:rStyle w:val="StrongEmphasis"/>
        </w:rPr>
        <w:t>Министр труда и социальной защиты Российской Федерации  А.О. Котяков</w:t>
      </w:r>
    </w:p>
    <w:p>
      <w:pPr>
        <w:pStyle w:val="TextBody"/>
        <w:spacing w:before="0" w:after="283"/>
        <w:rPr/>
      </w:pPr>
      <w:r>
        <w:rPr>
          <w:rStyle w:val="StrongEmphasis"/>
        </w:rPr>
        <w:t>Министр здравоохранения Российской Федерации М.А. Мурашко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horndale">
    <w:altName w:val="Times New Roman"/>
    <w:charset w:val="00"/>
    <w:family w:val="roman"/>
    <w:pitch w:val="variable"/>
  </w:font>
  <w:font w:name="Albany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DejaVu Sans" w:cs="DejaVu Sans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TextBody"/>
    <w:qFormat/>
    <w:pPr/>
    <w:rPr>
      <w:rFonts w:ascii="Thorndale" w:hAnsi="Thorndale"/>
      <w:b/>
      <w:bCs/>
      <w:sz w:val="48"/>
      <w:szCs w:val="44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DejaVu Sans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InternetLink">
    <w:name w:val="Internet Link"/>
    <w:rPr>
      <w:color w:val="000080"/>
      <w:u w:val="single"/>
    </w:rPr>
  </w:style>
  <w:style w:type="character" w:styleId="NumberingSymbols">
    <w:name w:val="Numbering Symbols"/>
    <w:qFormat/>
    <w:rPr/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283"/>
    </w:pPr>
    <w:rPr>
      <w:rFonts w:ascii="Albany" w:hAnsi="Albany"/>
      <w:sz w:val="28"/>
      <w:szCs w:val="26"/>
    </w:rPr>
  </w:style>
  <w:style w:type="paragraph" w:styleId="TextBody">
    <w:name w:val="Body Text"/>
    <w:basedOn w:val="Normal"/>
    <w:pPr>
      <w:spacing w:before="0" w:after="283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orizontalLine">
    <w:name w:val="Horizontal Line"/>
    <w:basedOn w:val="Normal"/>
    <w:next w:val="TextBody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Sender">
    <w:name w:val="Envelope Return"/>
    <w:basedOn w:val="Normal"/>
    <w:pPr/>
    <w:rPr>
      <w:i/>
    </w:rPr>
  </w:style>
  <w:style w:type="paragraph" w:styleId="TableContents">
    <w:name w:val="Table Contents"/>
    <w:basedOn w:val="TextBody"/>
    <w:qFormat/>
    <w:pPr/>
    <w:rPr/>
  </w:style>
  <w:style w:type="paragraph" w:styleId="Footer">
    <w:name w:val="Footer"/>
    <w:basedOn w:val="Normal"/>
    <w:pPr>
      <w:suppressLineNumbers/>
      <w:tabs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enter" w:pos="4818" w:leader="none"/>
        <w:tab w:val="right" w:pos="9637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LibreOffice/5.3.7.2$Linux_X86_64 LibreOffice_project/6b8ed514a9f8b44d37a1b96673cbbdd077e24059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